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CRF Design and Protocol-to-CRF Traceability Template</w:t>
      </w:r>
    </w:p>
    <w:p>
      <w:r>
        <w:rPr>
          <w:b/>
        </w:rPr>
        <w:t xml:space="preserve">For investigator-initiated trials • Editable working document • Version 1.0</w:t>
      </w:r>
    </w:p>
    <w:p>
      <w:r>
        <w:t xml:space="preserve">Purpose</w:t>
      </w:r>
    </w:p>
    <w:p>
      <w:r>
        <w:t xml:space="preserve">Use this template to define the minimum complete dataset needed to execute the protocol and analyze the prespecified endpoints. It is a planning aid, not a substitute for protocol-specific statistical, regulatory, ethics, data-management, or system-validation review.</w:t>
      </w:r>
    </w:p>
    <w:p>
      <w:pPr>
        <w:pStyle w:val="Heading1"/>
      </w:pPr>
      <w:r>
        <w:t xml:space="preserve">1. Study and document control</w:t>
      </w:r>
    </w:p>
    <w:p>
      <w:r>
        <w:t xml:space="preserve">Study title: ______________________________________________</w:t>
      </w:r>
    </w:p>
    <w:p>
      <w:r>
        <w:t xml:space="preserve">Protocol number/version/date: _______________________________</w:t>
      </w:r>
    </w:p>
    <w:p>
      <w:r>
        <w:t xml:space="preserve">CRF version/date: __________________________________________</w:t>
      </w:r>
    </w:p>
    <w:p>
      <w:r>
        <w:t xml:space="preserve">Principal investigator / investigator-sponsor: ________________</w:t>
      </w:r>
    </w:p>
    <w:p>
      <w:r>
        <w:t xml:space="preserve">Prepared by: __________________  Reviewed by: ________________</w:t>
      </w:r>
    </w:p>
    <w:p>
      <w:r>
        <w:t xml:space="preserve">Approved by/date: ___________________________________________</w:t>
      </w:r>
    </w:p>
    <w:p>
      <w:pPr>
        <w:pStyle w:val="Heading1"/>
      </w:pPr>
      <w:r>
        <w:t xml:space="preserve">2. Protocol-to-CRF traceability matrix</w:t>
      </w:r>
    </w:p>
    <w:p>
      <w:r>
        <w:t xml:space="preserve">Add one row for each protocol-required data element or tightly related field group. Delete illustrative rows before study approval.</w:t>
      </w:r>
    </w:p>
    <w:tbl>
      <w:tblPr>
        <w:tblStyle w:val="TableGrid"/>
        <w:tblW w:w="0" w:type="auto"/>
      </w:tblPr>
      <w:tr>
        <w:tc>
          <w:tcPr>
            <w:tcW w:w="1500" w:type="dxa"/>
          </w:tcPr>
          <w:p>
            <w:r>
              <w:rPr>
                <w:b/>
              </w:rPr>
              <w:t xml:space="preserve">Protocol requirement</w:t>
            </w:r>
          </w:p>
        </w:tc>
        <w:tc>
          <w:tcPr>
            <w:tcW w:w="1500" w:type="dxa"/>
          </w:tcPr>
          <w:p>
            <w:r>
              <w:rPr>
                <w:b/>
              </w:rPr>
              <w:t xml:space="preserve">Endpoint / rationale</w:t>
            </w:r>
          </w:p>
        </w:tc>
        <w:tc>
          <w:tcPr>
            <w:tcW w:w="1200" w:type="dxa"/>
          </w:tcPr>
          <w:p>
            <w:r>
              <w:rPr>
                <w:b/>
              </w:rPr>
              <w:t xml:space="preserve">Visit / timing</w:t>
            </w:r>
          </w:p>
        </w:tc>
        <w:tc>
          <w:tcPr>
            <w:tcW w:w="1500" w:type="dxa"/>
          </w:tcPr>
          <w:p>
            <w:r>
              <w:rPr>
                <w:b/>
              </w:rPr>
              <w:t xml:space="preserve">CRF page / field</w:t>
            </w:r>
          </w:p>
        </w:tc>
        <w:tc>
          <w:tcPr>
            <w:tcW w:w="1500" w:type="dxa"/>
          </w:tcPr>
          <w:p>
            <w:r>
              <w:rPr>
                <w:b/>
              </w:rPr>
              <w:t xml:space="preserve">Source / originator</w:t>
            </w:r>
          </w:p>
        </w:tc>
        <w:tc>
          <w:tcPr>
            <w:tcW w:w="1500" w:type="dxa"/>
          </w:tcPr>
          <w:p>
            <w:r>
              <w:rPr>
                <w:b/>
              </w:rPr>
              <w:t xml:space="preserve">Type / units / code</w:t>
            </w:r>
          </w:p>
        </w:tc>
        <w:tc>
          <w:tcPr>
            <w:tcW w:w="1500" w:type="dxa"/>
          </w:tcPr>
          <w:p>
            <w:r>
              <w:rPr>
                <w:b/>
              </w:rPr>
              <w:t xml:space="preserve">Edit check / missing rule</w:t>
            </w:r>
          </w:p>
        </w:tc>
        <w:tc>
          <w:tcPr>
            <w:tcW w:w="1500" w:type="dxa"/>
          </w:tcPr>
          <w:p>
            <w:r>
              <w:rPr>
                <w:b/>
              </w:rPr>
              <w:t xml:space="preserve">Analysis mapping</w:t>
            </w:r>
          </w:p>
        </w:tc>
      </w:tr>
      <w:tr>
        <w:tc>
          <w:tcPr>
            <w:tcW w:w="1500" w:type="dxa"/>
          </w:tcPr>
          <w:p>
            <w:r>
              <w:t xml:space="preserve">Primary endpoint</w:t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</w:tr>
      <w:tr>
        <w:tc>
          <w:tcPr>
            <w:tcW w:w="1500" w:type="dxa"/>
          </w:tcPr>
          <w:p>
            <w:r>
              <w:t xml:space="preserve">Key secondary endpoint</w:t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</w:tr>
      <w:tr>
        <w:tc>
          <w:tcPr>
            <w:tcW w:w="1500" w:type="dxa"/>
          </w:tcPr>
          <w:p>
            <w:r>
              <w:t xml:space="preserve">Eligibility criterion</w:t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</w:tr>
      <w:tr>
        <w:tc>
          <w:tcPr>
            <w:tcW w:w="1500" w:type="dxa"/>
          </w:tcPr>
          <w:p>
            <w:r>
              <w:t xml:space="preserve">Safety variable</w:t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</w:tr>
      <w:tr>
        <w:tc>
          <w:tcPr>
            <w:tcW w:w="1500" w:type="dxa"/>
          </w:tcPr>
          <w:p>
            <w:r>
              <w:t xml:space="preserve">Illustrative: study-eye visual acuity</w:t>
            </w:r>
          </w:p>
        </w:tc>
        <w:tc>
          <w:tcPr>
            <w:tcW w:w="1500" w:type="dxa"/>
          </w:tcPr>
          <w:p>
            <w:r>
              <w:t xml:space="preserve">Primary/secondary endpoint</w:t>
            </w:r>
          </w:p>
        </w:tc>
        <w:tc>
          <w:tcPr>
            <w:tcW w:w="1200" w:type="dxa"/>
          </w:tcPr>
          <w:p>
            <w:r>
              <w:t xml:space="preserve">Baseline; follow-up</w:t>
            </w:r>
          </w:p>
        </w:tc>
        <w:tc>
          <w:tcPr>
            <w:tcW w:w="1500" w:type="dxa"/>
          </w:tcPr>
          <w:p>
            <w:r>
              <w:t xml:space="preserve">VA page: letters/score</w:t>
            </w:r>
          </w:p>
        </w:tc>
        <w:tc>
          <w:tcPr>
            <w:tcW w:w="1500" w:type="dxa"/>
          </w:tcPr>
          <w:p>
            <w:r>
              <w:t xml:space="preserve">Certified examiner / chart</w:t>
            </w:r>
          </w:p>
        </w:tc>
        <w:tc>
          <w:tcPr>
            <w:tcW w:w="1500" w:type="dxa"/>
          </w:tcPr>
          <w:p>
            <w:r>
              <w:t xml:space="preserve">Integer; chart type; OD/OS</w:t>
            </w:r>
          </w:p>
        </w:tc>
        <w:tc>
          <w:tcPr>
            <w:tcW w:w="1500" w:type="dxa"/>
          </w:tcPr>
          <w:p>
            <w:r>
              <w:t xml:space="preserve">Range; missing reason</w:t>
            </w:r>
          </w:p>
        </w:tc>
        <w:tc>
          <w:tcPr>
            <w:tcW w:w="1500" w:type="dxa"/>
          </w:tcPr>
          <w:p>
            <w:r>
              <w:t xml:space="preserve">Analysis variable</w:t>
            </w:r>
          </w:p>
        </w:tc>
      </w:tr>
      <w:tr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</w:tr>
      <w:tr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1500" w:type="dxa"/>
          </w:tcPr>
          <w:p>
            <w:r>
              <w:t xml:space="preserve"/>
            </w:r>
          </w:p>
        </w:tc>
      </w:tr>
    </w:tbl>
    <w:p>
      <w:pPr>
        <w:pStyle w:val="Heading1"/>
      </w:pPr>
      <w:r>
        <w:t xml:space="preserve">3. Minimum-complete-dataset review</w:t>
      </w:r>
    </w:p>
    <w:p>
      <w:r>
        <w:t xml:space="preserve">☐ Every field maps to an endpoint, eligibility criterion, safety need, operational decision, or required covariate.</w:t>
      </w:r>
    </w:p>
    <w:p>
      <w:r>
        <w:t xml:space="preserve">☐ “Nice-to-have” variables without a prespecified use have been removed or explicitly justified.</w:t>
      </w:r>
    </w:p>
    <w:p>
      <w:r>
        <w:t xml:space="preserve">☐ The statistician/data analyst has confirmed that fields, coding, timing, units, and missing-data options support the analysis plan.</w:t>
      </w:r>
    </w:p>
    <w:p>
      <w:r>
        <w:t xml:space="preserve">☐ Repeated fields are collected only at visits where they are needed.</w:t>
      </w:r>
    </w:p>
    <w:p>
      <w:r>
        <w:t xml:space="preserve">☐ Source data originators and any direct-entry fields are identified.</w:t>
      </w:r>
    </w:p>
    <w:p>
      <w:r>
        <w:t xml:space="preserve">☐ Personally identifiable information is excluded unless specifically required and appropriately protected.</w:t>
      </w:r>
    </w:p>
    <w:p>
      <w:pPr>
        <w:pStyle w:val="Heading1"/>
      </w:pPr>
      <w:r>
        <w:t xml:space="preserve">4. Field-design checklist</w:t>
      </w:r>
    </w:p>
    <w:p>
      <w:r>
        <w:t xml:space="preserve">☐ Use explicit field labels and completion instructions; avoid undefined abbreviations.</w:t>
      </w:r>
    </w:p>
    <w:p>
      <w:r>
        <w:t xml:space="preserve">☐ Prefer structured response options when the allowable values are known; retain free text only when clinically necessary.</w:t>
      </w:r>
    </w:p>
    <w:p>
      <w:r>
        <w:t xml:space="preserve">☐ Distinguish “not done,” “unknown,” “not applicable,” and true missing data where those states matter.</w:t>
      </w:r>
    </w:p>
    <w:p>
      <w:r>
        <w:t xml:space="preserve">☐ Define date format, units, decimal precision, allowable ranges, and any conversions.</w:t>
      </w:r>
    </w:p>
    <w:p>
      <w:r>
        <w:t xml:space="preserve">☐ Do not prepopulate data that should be observed or assessed independently.</w:t>
      </w:r>
    </w:p>
    <w:p>
      <w:r>
        <w:t xml:space="preserve">☐ Use branching logic only when it is testable and clearly documented.</w:t>
      </w:r>
    </w:p>
    <w:p>
      <w:r>
        <w:t xml:space="preserve">☐ Avoid collecting derived values when the derivation should occur reproducibly during analysis.</w:t>
      </w:r>
    </w:p>
    <w:p>
      <w:r>
        <w:t xml:space="preserve">☐ Separate comments from analyzable variables.</w:t>
      </w:r>
    </w:p>
    <w:p>
      <w:pPr>
        <w:pStyle w:val="Heading1"/>
      </w:pPr>
      <w:r>
        <w:t xml:space="preserve">5. Safety, deviations, and eligibility</w:t>
      </w:r>
    </w:p>
    <w:p>
      <w:r>
        <w:t xml:space="preserve">☐ Eligibility fields permit confirmation of each protocol criterion without unnecessary narrative.</w:t>
      </w:r>
    </w:p>
    <w:p>
      <w:r>
        <w:t xml:space="preserve">☐ Adverse-event fields follow the protocol’s definitions, grading method, seriousness criteria, causality approach, and reporting windows.</w:t>
      </w:r>
    </w:p>
    <w:p>
      <w:r>
        <w:t xml:space="preserve">☐ Protocol deviations are captured consistently and can be reconciled with the deviation log.</w:t>
      </w:r>
    </w:p>
    <w:p>
      <w:r>
        <w:t xml:space="preserve">☐ Concomitant medication and medical-history fields use an appropriate coding and timing strategy.</w:t>
      </w:r>
    </w:p>
    <w:p>
      <w:r>
        <w:t xml:space="preserve">☐ Safety follow-up, resolution, and action fields are defined where required.</w:t>
      </w:r>
    </w:p>
    <w:p>
      <w:pPr>
        <w:pStyle w:val="Heading1"/>
      </w:pPr>
      <w:r>
        <w:t xml:space="preserve">6. Electronic-system controls</w:t>
      </w:r>
    </w:p>
    <w:p>
      <w:r>
        <w:t xml:space="preserve">☐ System fitness for purpose and validation approach are documented.</w:t>
      </w:r>
    </w:p>
    <w:p>
      <w:r>
        <w:t xml:space="preserve">☐ User roles, access, authentication, and deactivation procedures are defined.</w:t>
      </w:r>
    </w:p>
    <w:p>
      <w:r>
        <w:t xml:space="preserve">☐ Audit trails record who changed what, when, and—when required—why.</w:t>
      </w:r>
    </w:p>
    <w:p>
      <w:r>
        <w:t xml:space="preserve">☐ Data review, query, correction, signature, export, backup, retention, and recovery processes are tested.</w:t>
      </w:r>
    </w:p>
    <w:p>
      <w:r>
        <w:t xml:space="preserve">☐ External transfers and integrations have reconciliation and failure-handling rules.</w:t>
      </w:r>
    </w:p>
    <w:p>
      <w:r>
        <w:t xml:space="preserve">☐ Spreadsheet use, if any, has a documented risk assessment and controls appropriate to its intended use.</w:t>
      </w:r>
    </w:p>
    <w:p>
      <w:pPr>
        <w:pStyle w:val="Heading1"/>
      </w:pPr>
      <w:r>
        <w:t xml:space="preserve">7. Eye-care-specific review</w:t>
      </w:r>
    </w:p>
    <w:p>
      <w:r>
        <w:t xml:space="preserve">☐ Study eye and fellow eye are distinguished consistently (OD/OS and study-eye designation).</w:t>
      </w:r>
    </w:p>
    <w:p>
      <w:r>
        <w:t xml:space="preserve">☐ Visual-acuity chart, testing distance, refraction status, lighting, scoring method, and permitted conversions are specified.</w:t>
      </w:r>
    </w:p>
    <w:p>
      <w:r>
        <w:t xml:space="preserve">☐ Intraocular-pressure method, device/tonometer, time of day, and repeat-measure rules are defined where relevant.</w:t>
      </w:r>
    </w:p>
    <w:p>
      <w:r>
        <w:t xml:space="preserve">☐ Imaging device, acquisition protocol, image quality, reading method, and grader are captured where relevant.</w:t>
      </w:r>
    </w:p>
    <w:p>
      <w:r>
        <w:t xml:space="preserve">☐ Procedure, implant/device, laterality, technique, complications, and re-interventions are structured where relevant.</w:t>
      </w:r>
    </w:p>
    <w:p>
      <w:pPr>
        <w:pStyle w:val="Heading1"/>
      </w:pPr>
      <w:r>
        <w:t xml:space="preserve">8. UAT, release, and change control</w:t>
      </w:r>
    </w:p>
    <w:p>
      <w:r>
        <w:t xml:space="preserve">☐ Clinical, data-management, statistical, monitoring, and site-user review is documented.</w:t>
      </w:r>
    </w:p>
    <w:p>
      <w:r>
        <w:t xml:space="preserve">☐ User acceptance testing covers valid, invalid, missing, boundary, branching, edit-check, and role-based scenarios.</w:t>
      </w:r>
    </w:p>
    <w:p>
      <w:r>
        <w:t xml:space="preserve">☐ Approved CRF specifications match the deployed database build.</w:t>
      </w:r>
    </w:p>
    <w:p>
      <w:r>
        <w:t xml:space="preserve">☐ Version, effective date, training, migration, and amendment rules are defined.</w:t>
      </w:r>
    </w:p>
    <w:p>
      <w:r>
        <w:t xml:space="preserve">☐ A final blank CRF and completion guidelines are retained with study records.</w:t>
      </w:r>
    </w:p>
    <w:p>
      <w:pPr>
        <w:pStyle w:val="Heading1"/>
      </w:pPr>
      <w:r>
        <w:t xml:space="preserve">Final approval record</w:t>
      </w:r>
    </w:p>
    <w:tbl>
      <w:tblPr>
        <w:tblStyle w:val="TableGrid"/>
        <w:tblW w:w="0" w:type="auto"/>
      </w:tblPr>
      <w:tr>
        <w:tc>
          <w:tcPr>
            <w:tcW w:w="2200" w:type="dxa"/>
          </w:tcPr>
          <w:p>
            <w:r>
              <w:rPr>
                <w:b/>
              </w:rPr>
              <w:t xml:space="preserve">Role</w:t>
            </w:r>
          </w:p>
        </w:tc>
        <w:tc>
          <w:tcPr>
            <w:tcW w:w="1800" w:type="dxa"/>
          </w:tcPr>
          <w:p>
            <w:r>
              <w:rPr>
                <w:b/>
              </w:rPr>
              <w:t xml:space="preserve">Name</w:t>
            </w:r>
          </w:p>
        </w:tc>
        <w:tc>
          <w:tcPr>
            <w:tcW w:w="4000" w:type="dxa"/>
          </w:tcPr>
          <w:p>
            <w:r>
              <w:rPr>
                <w:b/>
              </w:rPr>
              <w:t xml:space="preserve">Decision / comments</w:t>
            </w:r>
          </w:p>
        </w:tc>
        <w:tc>
          <w:tcPr>
            <w:tcW w:w="1400" w:type="dxa"/>
          </w:tcPr>
          <w:p>
            <w:r>
              <w:rPr>
                <w:b/>
              </w:rPr>
              <w:t xml:space="preserve">Date</w:t>
            </w:r>
          </w:p>
        </w:tc>
      </w:tr>
      <w:tr>
        <w:tc>
          <w:tcPr>
            <w:tcW w:w="2200" w:type="dxa"/>
          </w:tcPr>
          <w:p>
            <w:r>
              <w:t xml:space="preserve">Principal investigator / investigator-sponsor</w:t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  <w:tc>
          <w:tcPr>
            <w:tcW w:w="4000" w:type="dxa"/>
          </w:tcPr>
          <w:p>
            <w:r>
              <w:t xml:space="preserve"/>
            </w:r>
          </w:p>
        </w:tc>
        <w:tc>
          <w:tcPr>
            <w:tcW w:w="1400" w:type="dxa"/>
          </w:tcPr>
          <w:p>
            <w:r>
              <w:t xml:space="preserve"/>
            </w:r>
          </w:p>
        </w:tc>
      </w:tr>
      <w:tr>
        <w:tc>
          <w:tcPr>
            <w:tcW w:w="2200" w:type="dxa"/>
          </w:tcPr>
          <w:p>
            <w:r>
              <w:t xml:space="preserve">Statistician</w:t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  <w:tc>
          <w:tcPr>
            <w:tcW w:w="4000" w:type="dxa"/>
          </w:tcPr>
          <w:p>
            <w:r>
              <w:t xml:space="preserve"/>
            </w:r>
          </w:p>
        </w:tc>
        <w:tc>
          <w:tcPr>
            <w:tcW w:w="1400" w:type="dxa"/>
          </w:tcPr>
          <w:p>
            <w:r>
              <w:t xml:space="preserve"/>
            </w:r>
          </w:p>
        </w:tc>
      </w:tr>
      <w:tr>
        <w:tc>
          <w:tcPr>
            <w:tcW w:w="2200" w:type="dxa"/>
          </w:tcPr>
          <w:p>
            <w:r>
              <w:t xml:space="preserve">Data management</w:t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  <w:tc>
          <w:tcPr>
            <w:tcW w:w="4000" w:type="dxa"/>
          </w:tcPr>
          <w:p>
            <w:r>
              <w:t xml:space="preserve"/>
            </w:r>
          </w:p>
        </w:tc>
        <w:tc>
          <w:tcPr>
            <w:tcW w:w="1400" w:type="dxa"/>
          </w:tcPr>
          <w:p>
            <w:r>
              <w:t xml:space="preserve"/>
            </w:r>
          </w:p>
        </w:tc>
      </w:tr>
      <w:tr>
        <w:tc>
          <w:tcPr>
            <w:tcW w:w="2200" w:type="dxa"/>
          </w:tcPr>
          <w:p>
            <w:r>
              <w:t xml:space="preserve">Clinical/medical review</w:t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  <w:tc>
          <w:tcPr>
            <w:tcW w:w="4000" w:type="dxa"/>
          </w:tcPr>
          <w:p>
            <w:r>
              <w:t xml:space="preserve"/>
            </w:r>
          </w:p>
        </w:tc>
        <w:tc>
          <w:tcPr>
            <w:tcW w:w="1400" w:type="dxa"/>
          </w:tcPr>
          <w:p>
            <w:r>
              <w:t xml:space="preserve"/>
            </w:r>
          </w:p>
        </w:tc>
      </w:tr>
      <w:tr>
        <w:tc>
          <w:tcPr>
            <w:tcW w:w="2200" w:type="dxa"/>
          </w:tcPr>
          <w:p>
            <w:r>
              <w:t xml:space="preserve">System owner / administrator</w:t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  <w:tc>
          <w:tcPr>
            <w:tcW w:w="4000" w:type="dxa"/>
          </w:tcPr>
          <w:p>
            <w:r>
              <w:t xml:space="preserve"/>
            </w:r>
          </w:p>
        </w:tc>
        <w:tc>
          <w:tcPr>
            <w:tcW w:w="1400" w:type="dxa"/>
          </w:tcPr>
          <w:p>
            <w:r>
              <w:t xml:space="preserve"/>
            </w:r>
          </w:p>
        </w:tc>
      </w:tr>
    </w:tbl>
    <w:p>
      <w:pPr>
        <w:pStyle w:val="Heading1"/>
      </w:pPr>
      <w:r>
        <w:t xml:space="preserve">Reference orientation</w:t>
      </w:r>
    </w:p>
    <w:p>
      <w:r>
        <w:t xml:space="preserve">General principles should be checked against the current protocol, statistical analysis plan, applicable ethics requirements, institutional procedures, and jurisdiction-specific requirements. Relevant references include ICH E6(R3), ICH E8(R1), FDA electronic-source guidance, and the EMA guideline on computerised systems and electronic data in clinical trials.</w:t>
      </w:r>
    </w:p>
    <w:p>
      <w:r>
        <w:t xml:space="preserve">Prepared by Sengi as an educational planning resource. No invented company name or wordmark is used.</w:t>
      </w:r>
    </w:p>
    <w:sectPr>
      <w:pgSz w:w="12240" w:h="15840"/>
      <w:pgMar w:top="720" w:right="720" w:bottom="720" w:left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Arial" w:hAnsi="Arial"/>
      <w:sz w:val="20"/>
    </w:rPr>
  </w:style>
  <w:style w:type="paragraph" w:styleId="Title">
    <w:name w:val="Title"/>
    <w:rPr>
      <w:b/>
      <w:sz w:val="36"/>
      <w:color w:val="D64F37"/>
    </w:rPr>
  </w:style>
  <w:style w:type="paragraph" w:styleId="Heading1">
    <w:name w:val="heading 1"/>
    <w:basedOn w:val="Normal"/>
    <w:next w:val="Normal"/>
    <w:rPr>
      <w:b/>
      <w:sz w:val="28"/>
      <w:color w:val="333A46"/>
    </w:rPr>
  </w:style>
  <w:style w:type="table" w:styleId="TableGrid">
    <w:name w:val="Table Grid"/>
    <w:tblPr>
      <w:tblBorders>
        <w:top w:val="single" w:sz="4" w:color="B8BDC6"/>
        <w:left w:val="single" w:sz="4" w:color="B8BDC6"/>
        <w:bottom w:val="single" w:sz="4" w:color="B8BDC6"/>
        <w:right w:val="single" w:sz="4" w:color="B8BDC6"/>
        <w:insideH w:val="single" w:sz="4" w:color="B8BDC6"/>
        <w:insideV w:val="single" w:sz="4" w:color="B8BDC6"/>
      </w:tblBorders>
    </w:tbl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